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BF7" w:rsidRPr="00383EEB" w:rsidRDefault="00B82BF7" w:rsidP="00B82BF7">
      <w:pPr>
        <w:rPr>
          <w:rFonts w:ascii="Times New Roman" w:hAnsi="Times New Roman" w:cs="Times New Roman"/>
          <w:b/>
          <w:sz w:val="28"/>
          <w:szCs w:val="28"/>
          <w:u w:val="single"/>
        </w:rPr>
      </w:pPr>
      <w:r w:rsidRPr="00383EEB">
        <w:rPr>
          <w:b/>
          <w:sz w:val="28"/>
          <w:szCs w:val="28"/>
          <w:u w:val="single"/>
        </w:rPr>
        <w:t>Methodology of the academic credit system</w:t>
      </w:r>
    </w:p>
    <w:p w:rsidR="00B82BF7" w:rsidRPr="00E92F69" w:rsidRDefault="00B82BF7" w:rsidP="00B82BF7">
      <w:pPr>
        <w:pStyle w:val="NormalWeb"/>
        <w:jc w:val="both"/>
      </w:pPr>
      <w:r>
        <w:t xml:space="preserve">TTI apply </w:t>
      </w:r>
      <w:r w:rsidRPr="00D67D74">
        <w:t xml:space="preserve">both local and </w:t>
      </w:r>
      <w:hyperlink r:id="rId4" w:history="1">
        <w:r w:rsidRPr="00F051A6">
          <w:rPr>
            <w:color w:val="136945"/>
            <w:u w:val="single"/>
          </w:rPr>
          <w:t>ECTS European Credit Transfer System</w:t>
        </w:r>
      </w:hyperlink>
      <w:r>
        <w:t xml:space="preserve"> to give transparency to the recognition procedure. </w:t>
      </w:r>
      <w:r>
        <w:rPr>
          <w:rFonts w:ascii="TimesNewRomanPSMT" w:hAnsi="TimesNewRomanPSMT" w:cs="TimesNewRomanPSMT"/>
          <w:color w:val="000000"/>
        </w:rPr>
        <w:t>ECTS credits fulfill two basic functions:</w:t>
      </w:r>
    </w:p>
    <w:p w:rsidR="00B82BF7" w:rsidRPr="00543D50" w:rsidRDefault="00B82BF7" w:rsidP="00B82BF7">
      <w:pPr>
        <w:pStyle w:val="NormalWeb"/>
        <w:jc w:val="both"/>
      </w:pPr>
      <w:r w:rsidRPr="004E6BB9">
        <w:rPr>
          <w:color w:val="010101"/>
        </w:rPr>
        <w:t>a)</w:t>
      </w:r>
      <w:r>
        <w:rPr>
          <w:color w:val="010101"/>
        </w:rPr>
        <w:t xml:space="preserve"> </w:t>
      </w:r>
      <w:r w:rsidRPr="004E6BB9">
        <w:rPr>
          <w:color w:val="000000"/>
        </w:rPr>
        <w:t>convertibility (the same way of setting up the credits enables their transfers</w:t>
      </w:r>
      <w:r>
        <w:rPr>
          <w:color w:val="000000"/>
        </w:rPr>
        <w:t xml:space="preserve"> </w:t>
      </w:r>
      <w:r w:rsidRPr="004E6BB9">
        <w:rPr>
          <w:color w:val="000000"/>
        </w:rPr>
        <w:t>among the universities, where the students learns particular subjects</w:t>
      </w:r>
      <w:r>
        <w:rPr>
          <w:color w:val="000000"/>
        </w:rPr>
        <w:t>)</w:t>
      </w:r>
      <w:r w:rsidRPr="004E6BB9">
        <w:rPr>
          <w:color w:val="010101"/>
        </w:rPr>
        <w:t>;</w:t>
      </w:r>
    </w:p>
    <w:p w:rsidR="00B82BF7" w:rsidRDefault="00B82BF7" w:rsidP="00B82BF7">
      <w:pPr>
        <w:autoSpaceDE w:val="0"/>
        <w:autoSpaceDN w:val="0"/>
        <w:adjustRightInd w:val="0"/>
        <w:spacing w:after="0" w:line="240" w:lineRule="auto"/>
        <w:jc w:val="both"/>
        <w:rPr>
          <w:rFonts w:ascii="Times New Roman" w:hAnsi="Times New Roman" w:cs="Times New Roman"/>
          <w:color w:val="2F2F2F"/>
          <w:sz w:val="24"/>
          <w:szCs w:val="24"/>
        </w:rPr>
      </w:pPr>
      <w:r w:rsidRPr="004E6BB9">
        <w:rPr>
          <w:rFonts w:ascii="Times New Roman" w:hAnsi="Times New Roman" w:cs="Times New Roman"/>
          <w:color w:val="2F2F2F"/>
          <w:sz w:val="24"/>
          <w:szCs w:val="24"/>
        </w:rPr>
        <w:t xml:space="preserve">b) </w:t>
      </w:r>
      <w:r w:rsidRPr="004E6BB9">
        <w:rPr>
          <w:rFonts w:ascii="Times New Roman" w:hAnsi="Times New Roman" w:cs="Times New Roman"/>
          <w:color w:val="000000"/>
          <w:sz w:val="24"/>
          <w:szCs w:val="24"/>
        </w:rPr>
        <w:t>accumulation (the same way of setting up the credits ensures the same way of</w:t>
      </w:r>
      <w:r>
        <w:rPr>
          <w:rFonts w:ascii="Times New Roman" w:hAnsi="Times New Roman" w:cs="Times New Roman"/>
          <w:color w:val="000000"/>
          <w:sz w:val="24"/>
          <w:szCs w:val="24"/>
        </w:rPr>
        <w:t xml:space="preserve"> </w:t>
      </w:r>
      <w:r w:rsidRPr="004E6BB9">
        <w:rPr>
          <w:rFonts w:ascii="Times New Roman" w:hAnsi="Times New Roman" w:cs="Times New Roman"/>
          <w:color w:val="000000"/>
          <w:sz w:val="24"/>
          <w:szCs w:val="24"/>
        </w:rPr>
        <w:t>counting the credits from single subjects in one study plan or field so the</w:t>
      </w:r>
      <w:r>
        <w:rPr>
          <w:rFonts w:ascii="Times New Roman" w:hAnsi="Times New Roman" w:cs="Times New Roman"/>
          <w:color w:val="000000"/>
          <w:sz w:val="24"/>
          <w:szCs w:val="24"/>
        </w:rPr>
        <w:t xml:space="preserve"> </w:t>
      </w:r>
      <w:r w:rsidRPr="004E6BB9">
        <w:rPr>
          <w:rFonts w:ascii="Times New Roman" w:hAnsi="Times New Roman" w:cs="Times New Roman"/>
          <w:color w:val="000000"/>
          <w:sz w:val="24"/>
          <w:szCs w:val="24"/>
        </w:rPr>
        <w:t>quantitative level of study duties stays the same)</w:t>
      </w:r>
      <w:r w:rsidRPr="004E6BB9">
        <w:rPr>
          <w:rFonts w:ascii="Times New Roman" w:hAnsi="Times New Roman" w:cs="Times New Roman"/>
          <w:color w:val="2F2F2F"/>
          <w:sz w:val="24"/>
          <w:szCs w:val="24"/>
        </w:rPr>
        <w:t>.</w:t>
      </w:r>
    </w:p>
    <w:p w:rsidR="00B82BF7" w:rsidRDefault="00B82BF7" w:rsidP="00B82BF7">
      <w:pPr>
        <w:pStyle w:val="NormalWeb"/>
        <w:jc w:val="both"/>
      </w:pPr>
      <w:r>
        <w:rPr>
          <w:lang w:val="sk-SK"/>
        </w:rPr>
        <w:t xml:space="preserve">A student obtains credits after passing through a study programme unit (lectures, seminars, practical exercises, dissertation thesis, master thesis, project thesis, laboratory works, fellowship, excursion, professional training, etc.). During study, a student can obtain credits only once in a particular study programme unit. </w:t>
      </w:r>
      <w:r>
        <w:t xml:space="preserve">The local credits are based on contact hours (i.e. theoretical or practical hours per week). 1 local credits stand for 1,5 ECTS credits. A full-time one-year study programme amounts to 40 local credits, which is equivalent to 60 ECTS credits. </w:t>
      </w:r>
    </w:p>
    <w:p w:rsidR="00B82BF7" w:rsidRPr="00F35F29" w:rsidRDefault="00B82BF7" w:rsidP="00B82BF7">
      <w:pPr>
        <w:spacing w:before="100" w:beforeAutospacing="1" w:after="100" w:afterAutospacing="1" w:line="240" w:lineRule="auto"/>
        <w:rPr>
          <w:rFonts w:ascii="Times New Roman" w:eastAsia="Times New Roman" w:hAnsi="Times New Roman" w:cs="Times New Roman"/>
          <w:b/>
          <w:color w:val="171717"/>
          <w:sz w:val="24"/>
          <w:szCs w:val="24"/>
        </w:rPr>
      </w:pPr>
      <w:r>
        <w:rPr>
          <w:rFonts w:ascii="Times New Roman" w:eastAsia="Times New Roman" w:hAnsi="Times New Roman" w:cs="Times New Roman"/>
          <w:color w:val="171717"/>
          <w:sz w:val="24"/>
          <w:szCs w:val="24"/>
        </w:rPr>
        <w:t>Students’ knowledge, skills and attitude in all study programmes are evaluated within 10 points scale. The lowest successful evaluation is 4 points.</w:t>
      </w:r>
    </w:p>
    <w:tbl>
      <w:tblPr>
        <w:tblStyle w:val="TableGrid"/>
        <w:tblW w:w="0" w:type="auto"/>
        <w:tblLook w:val="04A0"/>
      </w:tblPr>
      <w:tblGrid>
        <w:gridCol w:w="959"/>
        <w:gridCol w:w="1843"/>
        <w:gridCol w:w="5386"/>
        <w:gridCol w:w="1388"/>
      </w:tblGrid>
      <w:tr w:rsidR="00B82BF7" w:rsidRPr="00F35F29" w:rsidTr="0057003F">
        <w:tc>
          <w:tcPr>
            <w:tcW w:w="959" w:type="dxa"/>
          </w:tcPr>
          <w:p w:rsidR="00B82BF7" w:rsidRPr="00170C3C" w:rsidRDefault="00B82BF7" w:rsidP="0057003F">
            <w:pPr>
              <w:spacing w:before="100" w:beforeAutospacing="1" w:after="100" w:afterAutospacing="1"/>
              <w:jc w:val="center"/>
              <w:rPr>
                <w:rFonts w:ascii="Times New Roman" w:eastAsia="Times New Roman" w:hAnsi="Times New Roman" w:cs="Times New Roman"/>
                <w:b/>
                <w:color w:val="171717"/>
              </w:rPr>
            </w:pPr>
            <w:r w:rsidRPr="00170C3C">
              <w:rPr>
                <w:rFonts w:ascii="Times New Roman" w:eastAsia="Times New Roman" w:hAnsi="Times New Roman" w:cs="Times New Roman"/>
                <w:b/>
                <w:color w:val="171717"/>
              </w:rPr>
              <w:t>Grade</w:t>
            </w:r>
          </w:p>
        </w:tc>
        <w:tc>
          <w:tcPr>
            <w:tcW w:w="1843" w:type="dxa"/>
          </w:tcPr>
          <w:p w:rsidR="00B82BF7" w:rsidRPr="00170C3C" w:rsidRDefault="00B82BF7" w:rsidP="0057003F">
            <w:pPr>
              <w:spacing w:before="100" w:beforeAutospacing="1" w:after="100" w:afterAutospacing="1"/>
              <w:jc w:val="center"/>
              <w:rPr>
                <w:rFonts w:ascii="Times New Roman" w:eastAsia="Times New Roman" w:hAnsi="Times New Roman" w:cs="Times New Roman"/>
                <w:b/>
                <w:color w:val="171717"/>
              </w:rPr>
            </w:pPr>
            <w:r w:rsidRPr="00170C3C">
              <w:rPr>
                <w:rFonts w:ascii="Times New Roman" w:eastAsia="Times New Roman" w:hAnsi="Times New Roman" w:cs="Times New Roman"/>
                <w:b/>
                <w:color w:val="171717"/>
              </w:rPr>
              <w:t>Meaning</w:t>
            </w:r>
          </w:p>
        </w:tc>
        <w:tc>
          <w:tcPr>
            <w:tcW w:w="5386" w:type="dxa"/>
          </w:tcPr>
          <w:p w:rsidR="00B82BF7" w:rsidRPr="00170C3C" w:rsidRDefault="00B82BF7" w:rsidP="0057003F">
            <w:pPr>
              <w:spacing w:before="100" w:beforeAutospacing="1" w:after="100" w:afterAutospacing="1"/>
              <w:jc w:val="center"/>
              <w:rPr>
                <w:rFonts w:ascii="Times New Roman" w:eastAsia="Times New Roman" w:hAnsi="Times New Roman" w:cs="Times New Roman"/>
                <w:b/>
                <w:color w:val="171717"/>
              </w:rPr>
            </w:pPr>
            <w:r w:rsidRPr="00170C3C">
              <w:rPr>
                <w:rFonts w:ascii="Times New Roman" w:eastAsia="Times New Roman" w:hAnsi="Times New Roman" w:cs="Times New Roman"/>
                <w:b/>
                <w:color w:val="171717"/>
              </w:rPr>
              <w:t>Comments</w:t>
            </w:r>
          </w:p>
        </w:tc>
        <w:tc>
          <w:tcPr>
            <w:tcW w:w="1388" w:type="dxa"/>
          </w:tcPr>
          <w:p w:rsidR="00B82BF7" w:rsidRPr="00170C3C" w:rsidRDefault="00B82BF7" w:rsidP="0057003F">
            <w:pPr>
              <w:spacing w:before="100" w:beforeAutospacing="1" w:after="100" w:afterAutospacing="1"/>
              <w:jc w:val="center"/>
              <w:rPr>
                <w:rFonts w:ascii="Times New Roman" w:eastAsia="Times New Roman" w:hAnsi="Times New Roman" w:cs="Times New Roman"/>
                <w:b/>
                <w:color w:val="171717"/>
              </w:rPr>
            </w:pPr>
            <w:r w:rsidRPr="00170C3C">
              <w:rPr>
                <w:rFonts w:ascii="Times New Roman" w:eastAsia="Times New Roman" w:hAnsi="Times New Roman" w:cs="Times New Roman"/>
                <w:b/>
                <w:color w:val="171717"/>
              </w:rPr>
              <w:t>ECTS grade</w:t>
            </w:r>
          </w:p>
        </w:tc>
      </w:tr>
      <w:tr w:rsidR="00B82BF7" w:rsidTr="0057003F">
        <w:tc>
          <w:tcPr>
            <w:tcW w:w="959" w:type="dxa"/>
            <w:vAlign w:val="center"/>
          </w:tcPr>
          <w:p w:rsidR="00B82BF7" w:rsidRPr="00170C3C" w:rsidRDefault="00B82BF7" w:rsidP="0057003F">
            <w:pPr>
              <w:spacing w:before="100" w:beforeAutospacing="1" w:after="100" w:afterAutospacing="1"/>
              <w:jc w:val="center"/>
              <w:rPr>
                <w:rFonts w:ascii="Times New Roman" w:eastAsia="Times New Roman" w:hAnsi="Times New Roman" w:cs="Times New Roman"/>
                <w:color w:val="171717"/>
              </w:rPr>
            </w:pPr>
            <w:r w:rsidRPr="00170C3C">
              <w:rPr>
                <w:rFonts w:ascii="Times New Roman" w:eastAsia="Times New Roman" w:hAnsi="Times New Roman" w:cs="Times New Roman"/>
                <w:color w:val="171717"/>
              </w:rPr>
              <w:t>10</w:t>
            </w:r>
          </w:p>
        </w:tc>
        <w:tc>
          <w:tcPr>
            <w:tcW w:w="1843" w:type="dxa"/>
            <w:vAlign w:val="center"/>
          </w:tcPr>
          <w:p w:rsidR="00B82BF7" w:rsidRPr="00170C3C" w:rsidRDefault="00B82BF7" w:rsidP="0057003F">
            <w:pPr>
              <w:spacing w:before="100" w:beforeAutospacing="1" w:after="100" w:afterAutospacing="1"/>
              <w:jc w:val="center"/>
              <w:rPr>
                <w:rFonts w:ascii="Times New Roman" w:eastAsia="Times New Roman" w:hAnsi="Times New Roman" w:cs="Times New Roman"/>
                <w:color w:val="171717"/>
              </w:rPr>
            </w:pPr>
            <w:r w:rsidRPr="00170C3C">
              <w:rPr>
                <w:rFonts w:ascii="Times New Roman" w:eastAsia="Times New Roman" w:hAnsi="Times New Roman" w:cs="Times New Roman"/>
                <w:color w:val="171717"/>
              </w:rPr>
              <w:t>with distinction</w:t>
            </w:r>
          </w:p>
        </w:tc>
        <w:tc>
          <w:tcPr>
            <w:tcW w:w="5386" w:type="dxa"/>
          </w:tcPr>
          <w:p w:rsidR="00B82BF7" w:rsidRPr="00170C3C" w:rsidRDefault="00B82BF7" w:rsidP="0057003F">
            <w:pPr>
              <w:spacing w:before="100" w:beforeAutospacing="1" w:after="100" w:afterAutospacing="1"/>
              <w:rPr>
                <w:rFonts w:ascii="Times New Roman" w:eastAsia="Times New Roman" w:hAnsi="Times New Roman" w:cs="Times New Roman"/>
                <w:color w:val="171717"/>
              </w:rPr>
            </w:pPr>
            <w:r w:rsidRPr="00170C3C">
              <w:rPr>
                <w:rFonts w:ascii="Times New Roman" w:eastAsia="Times New Roman" w:hAnsi="Times New Roman" w:cs="Times New Roman"/>
                <w:color w:val="171717"/>
              </w:rPr>
              <w:t>Knowledge of the student is substantially higher than the estimated normal level</w:t>
            </w:r>
          </w:p>
        </w:tc>
        <w:tc>
          <w:tcPr>
            <w:tcW w:w="1388" w:type="dxa"/>
            <w:vAlign w:val="center"/>
          </w:tcPr>
          <w:p w:rsidR="00B82BF7" w:rsidRPr="00170C3C" w:rsidRDefault="00B82BF7" w:rsidP="0057003F">
            <w:pPr>
              <w:spacing w:before="100" w:beforeAutospacing="1" w:after="100" w:afterAutospacing="1"/>
              <w:jc w:val="center"/>
              <w:rPr>
                <w:rFonts w:ascii="Times New Roman" w:eastAsia="Times New Roman" w:hAnsi="Times New Roman" w:cs="Times New Roman"/>
                <w:color w:val="171717"/>
              </w:rPr>
            </w:pPr>
            <w:r w:rsidRPr="00170C3C">
              <w:rPr>
                <w:rFonts w:ascii="Times New Roman" w:eastAsia="Times New Roman" w:hAnsi="Times New Roman" w:cs="Times New Roman"/>
                <w:color w:val="171717"/>
              </w:rPr>
              <w:t>A</w:t>
            </w:r>
          </w:p>
        </w:tc>
      </w:tr>
      <w:tr w:rsidR="00B82BF7" w:rsidTr="0057003F">
        <w:tc>
          <w:tcPr>
            <w:tcW w:w="959" w:type="dxa"/>
            <w:vAlign w:val="center"/>
          </w:tcPr>
          <w:p w:rsidR="00B82BF7" w:rsidRPr="00170C3C" w:rsidRDefault="00B82BF7" w:rsidP="0057003F">
            <w:pPr>
              <w:spacing w:before="100" w:beforeAutospacing="1" w:after="100" w:afterAutospacing="1"/>
              <w:jc w:val="center"/>
              <w:rPr>
                <w:rFonts w:ascii="Times New Roman" w:eastAsia="Times New Roman" w:hAnsi="Times New Roman" w:cs="Times New Roman"/>
                <w:color w:val="171717"/>
              </w:rPr>
            </w:pPr>
            <w:r w:rsidRPr="00170C3C">
              <w:rPr>
                <w:rFonts w:ascii="Times New Roman" w:eastAsia="Times New Roman" w:hAnsi="Times New Roman" w:cs="Times New Roman"/>
                <w:color w:val="171717"/>
              </w:rPr>
              <w:t>9</w:t>
            </w:r>
          </w:p>
        </w:tc>
        <w:tc>
          <w:tcPr>
            <w:tcW w:w="1843" w:type="dxa"/>
            <w:vAlign w:val="center"/>
          </w:tcPr>
          <w:p w:rsidR="00B82BF7" w:rsidRPr="00170C3C" w:rsidRDefault="00B82BF7" w:rsidP="0057003F">
            <w:pPr>
              <w:spacing w:before="100" w:beforeAutospacing="1" w:after="100" w:afterAutospacing="1"/>
              <w:jc w:val="center"/>
              <w:rPr>
                <w:rFonts w:ascii="Times New Roman" w:eastAsia="Times New Roman" w:hAnsi="Times New Roman" w:cs="Times New Roman"/>
                <w:color w:val="171717"/>
              </w:rPr>
            </w:pPr>
            <w:r w:rsidRPr="00170C3C">
              <w:rPr>
                <w:rFonts w:ascii="Times New Roman" w:eastAsia="Times New Roman" w:hAnsi="Times New Roman" w:cs="Times New Roman"/>
                <w:color w:val="171717"/>
              </w:rPr>
              <w:t>excellent</w:t>
            </w:r>
          </w:p>
        </w:tc>
        <w:tc>
          <w:tcPr>
            <w:tcW w:w="5386" w:type="dxa"/>
          </w:tcPr>
          <w:p w:rsidR="00B82BF7" w:rsidRPr="00170C3C" w:rsidRDefault="00B82BF7" w:rsidP="0057003F">
            <w:pPr>
              <w:spacing w:before="100" w:beforeAutospacing="1" w:after="100" w:afterAutospacing="1"/>
              <w:rPr>
                <w:rFonts w:ascii="Times New Roman" w:eastAsia="Times New Roman" w:hAnsi="Times New Roman" w:cs="Times New Roman"/>
                <w:color w:val="171717"/>
              </w:rPr>
            </w:pPr>
            <w:r w:rsidRPr="00170C3C">
              <w:rPr>
                <w:rFonts w:ascii="Times New Roman" w:eastAsia="Times New Roman" w:hAnsi="Times New Roman" w:cs="Times New Roman"/>
                <w:color w:val="171717"/>
              </w:rPr>
              <w:t>Knowledge of the student is higher than the estimated normal level</w:t>
            </w:r>
          </w:p>
        </w:tc>
        <w:tc>
          <w:tcPr>
            <w:tcW w:w="1388" w:type="dxa"/>
            <w:vAlign w:val="center"/>
          </w:tcPr>
          <w:p w:rsidR="00B82BF7" w:rsidRPr="00170C3C" w:rsidRDefault="00B82BF7" w:rsidP="0057003F">
            <w:pPr>
              <w:spacing w:before="100" w:beforeAutospacing="1" w:after="100" w:afterAutospacing="1"/>
              <w:jc w:val="center"/>
              <w:rPr>
                <w:rFonts w:ascii="Times New Roman" w:eastAsia="Times New Roman" w:hAnsi="Times New Roman" w:cs="Times New Roman"/>
                <w:color w:val="171717"/>
              </w:rPr>
            </w:pPr>
            <w:r w:rsidRPr="00170C3C">
              <w:rPr>
                <w:rFonts w:ascii="Times New Roman" w:eastAsia="Times New Roman" w:hAnsi="Times New Roman" w:cs="Times New Roman"/>
                <w:color w:val="171717"/>
              </w:rPr>
              <w:t>A</w:t>
            </w:r>
          </w:p>
        </w:tc>
      </w:tr>
      <w:tr w:rsidR="00B82BF7" w:rsidTr="0057003F">
        <w:tc>
          <w:tcPr>
            <w:tcW w:w="959" w:type="dxa"/>
          </w:tcPr>
          <w:p w:rsidR="00B82BF7" w:rsidRPr="00170C3C" w:rsidRDefault="00B82BF7" w:rsidP="0057003F">
            <w:pPr>
              <w:spacing w:before="100" w:beforeAutospacing="1" w:after="100" w:afterAutospacing="1"/>
              <w:jc w:val="center"/>
              <w:rPr>
                <w:rFonts w:ascii="Times New Roman" w:eastAsia="Times New Roman" w:hAnsi="Times New Roman" w:cs="Times New Roman"/>
                <w:color w:val="171717"/>
              </w:rPr>
            </w:pPr>
            <w:r w:rsidRPr="00170C3C">
              <w:rPr>
                <w:rFonts w:ascii="Times New Roman" w:eastAsia="Times New Roman" w:hAnsi="Times New Roman" w:cs="Times New Roman"/>
                <w:color w:val="171717"/>
              </w:rPr>
              <w:t>8</w:t>
            </w:r>
          </w:p>
        </w:tc>
        <w:tc>
          <w:tcPr>
            <w:tcW w:w="1843" w:type="dxa"/>
            <w:vAlign w:val="center"/>
          </w:tcPr>
          <w:p w:rsidR="00B82BF7" w:rsidRPr="00170C3C" w:rsidRDefault="00B82BF7" w:rsidP="0057003F">
            <w:pPr>
              <w:spacing w:before="100" w:beforeAutospacing="1" w:after="100" w:afterAutospacing="1"/>
              <w:jc w:val="center"/>
              <w:rPr>
                <w:rFonts w:ascii="Times New Roman" w:eastAsia="Times New Roman" w:hAnsi="Times New Roman" w:cs="Times New Roman"/>
                <w:color w:val="171717"/>
              </w:rPr>
            </w:pPr>
            <w:r w:rsidRPr="00170C3C">
              <w:rPr>
                <w:rFonts w:ascii="Times New Roman" w:eastAsia="Times New Roman" w:hAnsi="Times New Roman" w:cs="Times New Roman"/>
                <w:color w:val="171717"/>
              </w:rPr>
              <w:t>very good</w:t>
            </w:r>
          </w:p>
        </w:tc>
        <w:tc>
          <w:tcPr>
            <w:tcW w:w="5386" w:type="dxa"/>
          </w:tcPr>
          <w:p w:rsidR="00B82BF7" w:rsidRPr="00170C3C" w:rsidRDefault="00B82BF7" w:rsidP="0057003F">
            <w:pPr>
              <w:spacing w:before="100" w:beforeAutospacing="1" w:after="100" w:afterAutospacing="1"/>
              <w:rPr>
                <w:rFonts w:ascii="Times New Roman" w:eastAsia="Times New Roman" w:hAnsi="Times New Roman" w:cs="Times New Roman"/>
                <w:color w:val="171717"/>
              </w:rPr>
            </w:pPr>
            <w:r w:rsidRPr="00170C3C">
              <w:rPr>
                <w:rFonts w:ascii="Times New Roman" w:eastAsia="Times New Roman" w:hAnsi="Times New Roman" w:cs="Times New Roman"/>
                <w:color w:val="171717"/>
              </w:rPr>
              <w:t>Knowledge corresponds to the highest expected level</w:t>
            </w:r>
          </w:p>
        </w:tc>
        <w:tc>
          <w:tcPr>
            <w:tcW w:w="1388" w:type="dxa"/>
            <w:vAlign w:val="center"/>
          </w:tcPr>
          <w:p w:rsidR="00B82BF7" w:rsidRPr="00170C3C" w:rsidRDefault="00B82BF7" w:rsidP="0057003F">
            <w:pPr>
              <w:spacing w:before="100" w:beforeAutospacing="1" w:after="100" w:afterAutospacing="1"/>
              <w:jc w:val="center"/>
              <w:rPr>
                <w:rFonts w:ascii="Times New Roman" w:eastAsia="Times New Roman" w:hAnsi="Times New Roman" w:cs="Times New Roman"/>
                <w:color w:val="171717"/>
              </w:rPr>
            </w:pPr>
            <w:r w:rsidRPr="00170C3C">
              <w:rPr>
                <w:rFonts w:ascii="Times New Roman" w:eastAsia="Times New Roman" w:hAnsi="Times New Roman" w:cs="Times New Roman"/>
                <w:color w:val="171717"/>
              </w:rPr>
              <w:t>B</w:t>
            </w:r>
          </w:p>
        </w:tc>
      </w:tr>
      <w:tr w:rsidR="00B82BF7" w:rsidTr="0057003F">
        <w:tc>
          <w:tcPr>
            <w:tcW w:w="959" w:type="dxa"/>
            <w:vAlign w:val="center"/>
          </w:tcPr>
          <w:p w:rsidR="00B82BF7" w:rsidRPr="00170C3C" w:rsidRDefault="00B82BF7" w:rsidP="0057003F">
            <w:pPr>
              <w:spacing w:before="100" w:beforeAutospacing="1" w:after="100" w:afterAutospacing="1"/>
              <w:jc w:val="center"/>
              <w:rPr>
                <w:rFonts w:ascii="Times New Roman" w:eastAsia="Times New Roman" w:hAnsi="Times New Roman" w:cs="Times New Roman"/>
                <w:color w:val="171717"/>
              </w:rPr>
            </w:pPr>
            <w:r w:rsidRPr="00170C3C">
              <w:rPr>
                <w:rFonts w:ascii="Times New Roman" w:eastAsia="Times New Roman" w:hAnsi="Times New Roman" w:cs="Times New Roman"/>
                <w:color w:val="171717"/>
              </w:rPr>
              <w:lastRenderedPageBreak/>
              <w:t>7</w:t>
            </w:r>
          </w:p>
        </w:tc>
        <w:tc>
          <w:tcPr>
            <w:tcW w:w="1843" w:type="dxa"/>
            <w:vAlign w:val="center"/>
          </w:tcPr>
          <w:p w:rsidR="00B82BF7" w:rsidRPr="00170C3C" w:rsidRDefault="00B82BF7" w:rsidP="0057003F">
            <w:pPr>
              <w:spacing w:before="100" w:beforeAutospacing="1" w:after="100" w:afterAutospacing="1"/>
              <w:jc w:val="center"/>
              <w:rPr>
                <w:rFonts w:ascii="Times New Roman" w:eastAsia="Times New Roman" w:hAnsi="Times New Roman" w:cs="Times New Roman"/>
                <w:color w:val="171717"/>
              </w:rPr>
            </w:pPr>
            <w:r w:rsidRPr="00170C3C">
              <w:rPr>
                <w:rFonts w:ascii="Times New Roman" w:eastAsia="Times New Roman" w:hAnsi="Times New Roman" w:cs="Times New Roman"/>
                <w:color w:val="171717"/>
              </w:rPr>
              <w:t>good</w:t>
            </w:r>
          </w:p>
        </w:tc>
        <w:tc>
          <w:tcPr>
            <w:tcW w:w="5386" w:type="dxa"/>
          </w:tcPr>
          <w:p w:rsidR="00B82BF7" w:rsidRPr="00170C3C" w:rsidRDefault="00B82BF7" w:rsidP="0057003F">
            <w:pPr>
              <w:spacing w:before="100" w:beforeAutospacing="1" w:after="100" w:afterAutospacing="1"/>
              <w:rPr>
                <w:rFonts w:ascii="Times New Roman" w:eastAsia="Times New Roman" w:hAnsi="Times New Roman" w:cs="Times New Roman"/>
                <w:color w:val="171717"/>
              </w:rPr>
            </w:pPr>
            <w:r w:rsidRPr="00170C3C">
              <w:rPr>
                <w:rFonts w:ascii="Times New Roman" w:eastAsia="Times New Roman" w:hAnsi="Times New Roman" w:cs="Times New Roman"/>
                <w:color w:val="171717"/>
              </w:rPr>
              <w:t>The student has mastered the subject deeply and with understanding, is progressing within the expected limits, but makes minor mistakes</w:t>
            </w:r>
          </w:p>
        </w:tc>
        <w:tc>
          <w:tcPr>
            <w:tcW w:w="1388" w:type="dxa"/>
            <w:vAlign w:val="center"/>
          </w:tcPr>
          <w:p w:rsidR="00B82BF7" w:rsidRPr="00170C3C" w:rsidRDefault="00B82BF7" w:rsidP="0057003F">
            <w:pPr>
              <w:spacing w:before="100" w:beforeAutospacing="1" w:after="100" w:afterAutospacing="1"/>
              <w:jc w:val="center"/>
              <w:rPr>
                <w:rFonts w:ascii="Times New Roman" w:eastAsia="Times New Roman" w:hAnsi="Times New Roman" w:cs="Times New Roman"/>
                <w:color w:val="171717"/>
              </w:rPr>
            </w:pPr>
            <w:r w:rsidRPr="00170C3C">
              <w:rPr>
                <w:rFonts w:ascii="Times New Roman" w:eastAsia="Times New Roman" w:hAnsi="Times New Roman" w:cs="Times New Roman"/>
                <w:color w:val="171717"/>
              </w:rPr>
              <w:t>C</w:t>
            </w:r>
          </w:p>
        </w:tc>
      </w:tr>
      <w:tr w:rsidR="00B82BF7" w:rsidTr="0057003F">
        <w:tc>
          <w:tcPr>
            <w:tcW w:w="959" w:type="dxa"/>
            <w:vAlign w:val="center"/>
          </w:tcPr>
          <w:p w:rsidR="00B82BF7" w:rsidRPr="00170C3C" w:rsidRDefault="00B82BF7" w:rsidP="0057003F">
            <w:pPr>
              <w:spacing w:before="100" w:beforeAutospacing="1" w:after="100" w:afterAutospacing="1"/>
              <w:jc w:val="center"/>
              <w:rPr>
                <w:rFonts w:ascii="Times New Roman" w:eastAsia="Times New Roman" w:hAnsi="Times New Roman" w:cs="Times New Roman"/>
                <w:color w:val="171717"/>
              </w:rPr>
            </w:pPr>
            <w:r w:rsidRPr="00170C3C">
              <w:rPr>
                <w:rFonts w:ascii="Times New Roman" w:eastAsia="Times New Roman" w:hAnsi="Times New Roman" w:cs="Times New Roman"/>
                <w:color w:val="171717"/>
              </w:rPr>
              <w:t>6</w:t>
            </w:r>
          </w:p>
        </w:tc>
        <w:tc>
          <w:tcPr>
            <w:tcW w:w="1843" w:type="dxa"/>
            <w:vAlign w:val="center"/>
          </w:tcPr>
          <w:p w:rsidR="00B82BF7" w:rsidRPr="00170C3C" w:rsidRDefault="00B82BF7" w:rsidP="0057003F">
            <w:pPr>
              <w:spacing w:before="100" w:beforeAutospacing="1" w:after="100" w:afterAutospacing="1"/>
              <w:jc w:val="center"/>
              <w:rPr>
                <w:rFonts w:ascii="Times New Roman" w:eastAsia="Times New Roman" w:hAnsi="Times New Roman" w:cs="Times New Roman"/>
                <w:color w:val="171717"/>
              </w:rPr>
            </w:pPr>
            <w:r w:rsidRPr="00170C3C">
              <w:rPr>
                <w:rFonts w:ascii="Times New Roman" w:eastAsia="Times New Roman" w:hAnsi="Times New Roman" w:cs="Times New Roman"/>
                <w:color w:val="171717"/>
              </w:rPr>
              <w:t>almost good</w:t>
            </w:r>
          </w:p>
        </w:tc>
        <w:tc>
          <w:tcPr>
            <w:tcW w:w="5386" w:type="dxa"/>
          </w:tcPr>
          <w:p w:rsidR="00B82BF7" w:rsidRPr="00170C3C" w:rsidRDefault="00B82BF7" w:rsidP="0057003F">
            <w:pPr>
              <w:spacing w:before="100" w:beforeAutospacing="1" w:after="100" w:afterAutospacing="1"/>
              <w:rPr>
                <w:rFonts w:ascii="Times New Roman" w:eastAsia="Times New Roman" w:hAnsi="Times New Roman" w:cs="Times New Roman"/>
                <w:color w:val="171717"/>
              </w:rPr>
            </w:pPr>
            <w:r w:rsidRPr="00170C3C">
              <w:rPr>
                <w:rFonts w:ascii="Times New Roman" w:eastAsia="Times New Roman" w:hAnsi="Times New Roman" w:cs="Times New Roman"/>
                <w:color w:val="171717"/>
              </w:rPr>
              <w:t>The student has generally succeeded in the course within the required limits, but he / she is either merely reproducing the knowledge rather than actively using it, or making more substantial mistakes</w:t>
            </w:r>
          </w:p>
        </w:tc>
        <w:tc>
          <w:tcPr>
            <w:tcW w:w="1388" w:type="dxa"/>
            <w:vAlign w:val="center"/>
          </w:tcPr>
          <w:p w:rsidR="00B82BF7" w:rsidRPr="00170C3C" w:rsidRDefault="00B82BF7" w:rsidP="0057003F">
            <w:pPr>
              <w:spacing w:before="100" w:beforeAutospacing="1" w:after="100" w:afterAutospacing="1"/>
              <w:jc w:val="center"/>
              <w:rPr>
                <w:rFonts w:ascii="Times New Roman" w:eastAsia="Times New Roman" w:hAnsi="Times New Roman" w:cs="Times New Roman"/>
                <w:color w:val="171717"/>
              </w:rPr>
            </w:pPr>
            <w:r w:rsidRPr="00170C3C">
              <w:rPr>
                <w:rFonts w:ascii="Times New Roman" w:eastAsia="Times New Roman" w:hAnsi="Times New Roman" w:cs="Times New Roman"/>
                <w:color w:val="171717"/>
              </w:rPr>
              <w:t>D</w:t>
            </w:r>
          </w:p>
        </w:tc>
      </w:tr>
      <w:tr w:rsidR="00B82BF7" w:rsidTr="0057003F">
        <w:tc>
          <w:tcPr>
            <w:tcW w:w="959" w:type="dxa"/>
            <w:vAlign w:val="center"/>
          </w:tcPr>
          <w:p w:rsidR="00B82BF7" w:rsidRPr="00170C3C" w:rsidRDefault="00B82BF7" w:rsidP="0057003F">
            <w:pPr>
              <w:spacing w:before="100" w:beforeAutospacing="1" w:after="100" w:afterAutospacing="1"/>
              <w:jc w:val="center"/>
              <w:rPr>
                <w:rFonts w:ascii="Times New Roman" w:eastAsia="Times New Roman" w:hAnsi="Times New Roman" w:cs="Times New Roman"/>
                <w:color w:val="171717"/>
              </w:rPr>
            </w:pPr>
            <w:r w:rsidRPr="00170C3C">
              <w:rPr>
                <w:rFonts w:ascii="Times New Roman" w:eastAsia="Times New Roman" w:hAnsi="Times New Roman" w:cs="Times New Roman"/>
                <w:color w:val="171717"/>
              </w:rPr>
              <w:t>5</w:t>
            </w:r>
          </w:p>
        </w:tc>
        <w:tc>
          <w:tcPr>
            <w:tcW w:w="1843" w:type="dxa"/>
            <w:vAlign w:val="center"/>
          </w:tcPr>
          <w:p w:rsidR="00B82BF7" w:rsidRPr="00170C3C" w:rsidRDefault="00B82BF7" w:rsidP="0057003F">
            <w:pPr>
              <w:spacing w:before="100" w:beforeAutospacing="1" w:after="100" w:afterAutospacing="1"/>
              <w:jc w:val="center"/>
              <w:rPr>
                <w:rFonts w:ascii="Times New Roman" w:eastAsia="Times New Roman" w:hAnsi="Times New Roman" w:cs="Times New Roman"/>
                <w:color w:val="171717"/>
              </w:rPr>
            </w:pPr>
            <w:r w:rsidRPr="00170C3C">
              <w:rPr>
                <w:rFonts w:ascii="Times New Roman" w:eastAsia="Times New Roman" w:hAnsi="Times New Roman" w:cs="Times New Roman"/>
                <w:color w:val="171717"/>
              </w:rPr>
              <w:t>satisfactory</w:t>
            </w:r>
          </w:p>
        </w:tc>
        <w:tc>
          <w:tcPr>
            <w:tcW w:w="5386" w:type="dxa"/>
          </w:tcPr>
          <w:p w:rsidR="00B82BF7" w:rsidRPr="00170C3C" w:rsidRDefault="00B82BF7" w:rsidP="0057003F">
            <w:pPr>
              <w:spacing w:before="100" w:beforeAutospacing="1" w:after="100" w:afterAutospacing="1"/>
              <w:rPr>
                <w:rFonts w:ascii="Times New Roman" w:eastAsia="Times New Roman" w:hAnsi="Times New Roman" w:cs="Times New Roman"/>
                <w:color w:val="171717"/>
              </w:rPr>
            </w:pPr>
            <w:r w:rsidRPr="00170C3C">
              <w:rPr>
                <w:rFonts w:ascii="Times New Roman" w:eastAsia="Times New Roman" w:hAnsi="Times New Roman" w:cs="Times New Roman"/>
                <w:color w:val="171717"/>
              </w:rPr>
              <w:t>Awarded to students, who are progressing within the limits of their individual abilities, generally are not behind the appropriate age group, but make substantial mistakes and reproduce the facts rather than analyze them</w:t>
            </w:r>
          </w:p>
        </w:tc>
        <w:tc>
          <w:tcPr>
            <w:tcW w:w="1388" w:type="dxa"/>
            <w:vAlign w:val="center"/>
          </w:tcPr>
          <w:p w:rsidR="00B82BF7" w:rsidRPr="00170C3C" w:rsidRDefault="00B82BF7" w:rsidP="0057003F">
            <w:pPr>
              <w:spacing w:before="100" w:beforeAutospacing="1" w:after="100" w:afterAutospacing="1"/>
              <w:jc w:val="center"/>
              <w:rPr>
                <w:rFonts w:ascii="Times New Roman" w:eastAsia="Times New Roman" w:hAnsi="Times New Roman" w:cs="Times New Roman"/>
                <w:color w:val="171717"/>
              </w:rPr>
            </w:pPr>
            <w:r w:rsidRPr="00170C3C">
              <w:rPr>
                <w:rFonts w:ascii="Times New Roman" w:eastAsia="Times New Roman" w:hAnsi="Times New Roman" w:cs="Times New Roman"/>
                <w:color w:val="171717"/>
              </w:rPr>
              <w:t>E</w:t>
            </w:r>
          </w:p>
        </w:tc>
      </w:tr>
      <w:tr w:rsidR="00B82BF7" w:rsidTr="0057003F">
        <w:tc>
          <w:tcPr>
            <w:tcW w:w="959" w:type="dxa"/>
            <w:vAlign w:val="center"/>
          </w:tcPr>
          <w:p w:rsidR="00B82BF7" w:rsidRPr="00170C3C" w:rsidRDefault="00B82BF7" w:rsidP="0057003F">
            <w:pPr>
              <w:spacing w:before="100" w:beforeAutospacing="1" w:after="100" w:afterAutospacing="1"/>
              <w:jc w:val="center"/>
              <w:rPr>
                <w:rFonts w:ascii="Times New Roman" w:eastAsia="Times New Roman" w:hAnsi="Times New Roman" w:cs="Times New Roman"/>
                <w:color w:val="171717"/>
              </w:rPr>
            </w:pPr>
            <w:r w:rsidRPr="00170C3C">
              <w:rPr>
                <w:rFonts w:ascii="Times New Roman" w:eastAsia="Times New Roman" w:hAnsi="Times New Roman" w:cs="Times New Roman"/>
                <w:color w:val="171717"/>
              </w:rPr>
              <w:t>4</w:t>
            </w:r>
          </w:p>
        </w:tc>
        <w:tc>
          <w:tcPr>
            <w:tcW w:w="1843" w:type="dxa"/>
            <w:vAlign w:val="center"/>
          </w:tcPr>
          <w:p w:rsidR="00B82BF7" w:rsidRPr="00170C3C" w:rsidRDefault="00B82BF7" w:rsidP="0057003F">
            <w:pPr>
              <w:spacing w:before="100" w:beforeAutospacing="1" w:after="100" w:afterAutospacing="1"/>
              <w:jc w:val="center"/>
              <w:rPr>
                <w:rFonts w:ascii="Times New Roman" w:eastAsia="Times New Roman" w:hAnsi="Times New Roman" w:cs="Times New Roman"/>
                <w:color w:val="171717"/>
              </w:rPr>
            </w:pPr>
            <w:r w:rsidRPr="00170C3C">
              <w:rPr>
                <w:rFonts w:ascii="Times New Roman" w:eastAsia="Times New Roman" w:hAnsi="Times New Roman" w:cs="Times New Roman"/>
                <w:color w:val="171717"/>
              </w:rPr>
              <w:t>almost satisfactory</w:t>
            </w:r>
          </w:p>
        </w:tc>
        <w:tc>
          <w:tcPr>
            <w:tcW w:w="5386" w:type="dxa"/>
          </w:tcPr>
          <w:p w:rsidR="00B82BF7" w:rsidRPr="00170C3C" w:rsidRDefault="00B82BF7" w:rsidP="0057003F">
            <w:pPr>
              <w:spacing w:before="100" w:beforeAutospacing="1" w:after="100" w:afterAutospacing="1"/>
              <w:rPr>
                <w:rFonts w:ascii="Times New Roman" w:eastAsia="Times New Roman" w:hAnsi="Times New Roman" w:cs="Times New Roman"/>
                <w:color w:val="171717"/>
              </w:rPr>
            </w:pPr>
            <w:r w:rsidRPr="00170C3C">
              <w:rPr>
                <w:rFonts w:ascii="Times New Roman" w:eastAsia="Times New Roman" w:hAnsi="Times New Roman" w:cs="Times New Roman"/>
                <w:color w:val="171717"/>
              </w:rPr>
              <w:t>The very last positive grade. Awarded to students, who do their best but still make grave mistakes and just reproduce most of the relevant material</w:t>
            </w:r>
          </w:p>
        </w:tc>
        <w:tc>
          <w:tcPr>
            <w:tcW w:w="1388" w:type="dxa"/>
            <w:vAlign w:val="center"/>
          </w:tcPr>
          <w:p w:rsidR="00B82BF7" w:rsidRPr="00170C3C" w:rsidRDefault="00B82BF7" w:rsidP="0057003F">
            <w:pPr>
              <w:spacing w:before="100" w:beforeAutospacing="1" w:after="100" w:afterAutospacing="1"/>
              <w:jc w:val="center"/>
              <w:rPr>
                <w:rFonts w:ascii="Times New Roman" w:eastAsia="Times New Roman" w:hAnsi="Times New Roman" w:cs="Times New Roman"/>
                <w:color w:val="171717"/>
              </w:rPr>
            </w:pPr>
            <w:r w:rsidRPr="00170C3C">
              <w:rPr>
                <w:rFonts w:ascii="Times New Roman" w:eastAsia="Times New Roman" w:hAnsi="Times New Roman" w:cs="Times New Roman"/>
                <w:color w:val="171717"/>
              </w:rPr>
              <w:t>E/FX</w:t>
            </w:r>
          </w:p>
        </w:tc>
      </w:tr>
      <w:tr w:rsidR="00B82BF7" w:rsidTr="0057003F">
        <w:tc>
          <w:tcPr>
            <w:tcW w:w="959" w:type="dxa"/>
            <w:vAlign w:val="center"/>
          </w:tcPr>
          <w:p w:rsidR="00B82BF7" w:rsidRPr="00170C3C" w:rsidRDefault="00B82BF7" w:rsidP="0057003F">
            <w:pPr>
              <w:spacing w:before="100" w:beforeAutospacing="1" w:after="100" w:afterAutospacing="1"/>
              <w:jc w:val="center"/>
              <w:rPr>
                <w:rFonts w:ascii="Times New Roman" w:eastAsia="Times New Roman" w:hAnsi="Times New Roman" w:cs="Times New Roman"/>
                <w:color w:val="171717"/>
              </w:rPr>
            </w:pPr>
            <w:r w:rsidRPr="00170C3C">
              <w:rPr>
                <w:rFonts w:ascii="Times New Roman" w:eastAsia="Times New Roman" w:hAnsi="Times New Roman" w:cs="Times New Roman"/>
                <w:color w:val="171717"/>
              </w:rPr>
              <w:t>3-1</w:t>
            </w:r>
          </w:p>
        </w:tc>
        <w:tc>
          <w:tcPr>
            <w:tcW w:w="1843" w:type="dxa"/>
            <w:vAlign w:val="center"/>
          </w:tcPr>
          <w:p w:rsidR="00B82BF7" w:rsidRPr="00170C3C" w:rsidRDefault="00B82BF7" w:rsidP="0057003F">
            <w:pPr>
              <w:spacing w:before="100" w:beforeAutospacing="1" w:after="100" w:afterAutospacing="1"/>
              <w:jc w:val="center"/>
              <w:rPr>
                <w:rFonts w:ascii="Times New Roman" w:eastAsia="Times New Roman" w:hAnsi="Times New Roman" w:cs="Times New Roman"/>
                <w:color w:val="171717"/>
              </w:rPr>
            </w:pPr>
            <w:r w:rsidRPr="00170C3C">
              <w:rPr>
                <w:rFonts w:ascii="Times New Roman" w:eastAsia="Times New Roman" w:hAnsi="Times New Roman" w:cs="Times New Roman"/>
                <w:color w:val="171717"/>
              </w:rPr>
              <w:t>unsatisfactory</w:t>
            </w:r>
          </w:p>
        </w:tc>
        <w:tc>
          <w:tcPr>
            <w:tcW w:w="5386" w:type="dxa"/>
          </w:tcPr>
          <w:p w:rsidR="00B82BF7" w:rsidRPr="00170C3C" w:rsidRDefault="00B82BF7" w:rsidP="0057003F">
            <w:pPr>
              <w:spacing w:before="100" w:beforeAutospacing="1" w:after="100" w:afterAutospacing="1"/>
              <w:rPr>
                <w:rFonts w:ascii="Times New Roman" w:eastAsia="Times New Roman" w:hAnsi="Times New Roman" w:cs="Times New Roman"/>
                <w:color w:val="171717"/>
              </w:rPr>
            </w:pPr>
            <w:r w:rsidRPr="00170C3C">
              <w:rPr>
                <w:rFonts w:ascii="Times New Roman" w:eastAsia="Times New Roman" w:hAnsi="Times New Roman" w:cs="Times New Roman"/>
                <w:color w:val="171717"/>
              </w:rPr>
              <w:t>Marks of different levels for students whose records are below the expected</w:t>
            </w:r>
          </w:p>
        </w:tc>
        <w:tc>
          <w:tcPr>
            <w:tcW w:w="1388" w:type="dxa"/>
            <w:vAlign w:val="center"/>
          </w:tcPr>
          <w:p w:rsidR="00B82BF7" w:rsidRPr="00170C3C" w:rsidRDefault="00B82BF7" w:rsidP="0057003F">
            <w:pPr>
              <w:spacing w:before="100" w:beforeAutospacing="1" w:after="100" w:afterAutospacing="1"/>
              <w:jc w:val="center"/>
              <w:rPr>
                <w:rFonts w:ascii="Times New Roman" w:eastAsia="Times New Roman" w:hAnsi="Times New Roman" w:cs="Times New Roman"/>
                <w:color w:val="171717"/>
              </w:rPr>
            </w:pPr>
            <w:r w:rsidRPr="00170C3C">
              <w:rPr>
                <w:rFonts w:ascii="Times New Roman" w:eastAsia="Times New Roman" w:hAnsi="Times New Roman" w:cs="Times New Roman"/>
                <w:color w:val="171717"/>
              </w:rPr>
              <w:t>Fail</w:t>
            </w:r>
          </w:p>
        </w:tc>
      </w:tr>
    </w:tbl>
    <w:p w:rsidR="00B82BF7" w:rsidRDefault="00B82BF7" w:rsidP="00B82BF7">
      <w:pPr>
        <w:autoSpaceDE w:val="0"/>
        <w:autoSpaceDN w:val="0"/>
        <w:adjustRightInd w:val="0"/>
        <w:spacing w:after="0" w:line="240" w:lineRule="auto"/>
        <w:jc w:val="both"/>
        <w:rPr>
          <w:rFonts w:ascii="Times New Roman" w:hAnsi="Times New Roman" w:cs="Times New Roman"/>
          <w:color w:val="000000"/>
          <w:sz w:val="24"/>
          <w:szCs w:val="24"/>
        </w:rPr>
      </w:pPr>
    </w:p>
    <w:p w:rsidR="00B82BF7" w:rsidRPr="008C04EE" w:rsidRDefault="00B82BF7" w:rsidP="00B82BF7">
      <w:pPr>
        <w:jc w:val="both"/>
        <w:rPr>
          <w:rFonts w:ascii="Times New Roman" w:hAnsi="Times New Roman" w:cs="Times New Roman"/>
          <w:sz w:val="24"/>
          <w:szCs w:val="24"/>
        </w:rPr>
      </w:pPr>
      <w:r w:rsidRPr="008C04EE">
        <w:rPr>
          <w:rFonts w:ascii="Times New Roman" w:hAnsi="Times New Roman" w:cs="Times New Roman"/>
          <w:sz w:val="24"/>
          <w:szCs w:val="24"/>
        </w:rPr>
        <w:t xml:space="preserve">TTI ensure the full implementation of ECTS to guarantee the quality of mobility activities and transparency of recognition procedures using the following forms: Transcript of Records (TOR), Learning Agreement (LA) and Training Agreement (TA). The International Office with assistance of the Directors of </w:t>
      </w:r>
      <w:r>
        <w:rPr>
          <w:rFonts w:ascii="Times New Roman" w:hAnsi="Times New Roman" w:cs="Times New Roman"/>
          <w:sz w:val="24"/>
          <w:szCs w:val="24"/>
        </w:rPr>
        <w:t xml:space="preserve">Study </w:t>
      </w:r>
      <w:r w:rsidRPr="008C04EE">
        <w:rPr>
          <w:rFonts w:ascii="Times New Roman" w:hAnsi="Times New Roman" w:cs="Times New Roman"/>
          <w:sz w:val="24"/>
          <w:szCs w:val="24"/>
        </w:rPr>
        <w:t xml:space="preserve">Programmes and the coordinators of partner universities define in the LA or TA which study courses or what kind of training programme the student should attend prior to his departure abroad. Students are encouraged to complete </w:t>
      </w:r>
      <w:r>
        <w:rPr>
          <w:rFonts w:ascii="Times New Roman" w:hAnsi="Times New Roman" w:cs="Times New Roman"/>
          <w:sz w:val="24"/>
          <w:szCs w:val="24"/>
        </w:rPr>
        <w:t xml:space="preserve">during the mobility </w:t>
      </w:r>
      <w:r w:rsidRPr="008C04EE">
        <w:rPr>
          <w:rFonts w:ascii="Times New Roman" w:hAnsi="Times New Roman" w:cs="Times New Roman"/>
          <w:sz w:val="24"/>
          <w:szCs w:val="24"/>
        </w:rPr>
        <w:t>at least 30 ECTS per s</w:t>
      </w:r>
      <w:r>
        <w:rPr>
          <w:rFonts w:ascii="Times New Roman" w:hAnsi="Times New Roman" w:cs="Times New Roman"/>
          <w:sz w:val="24"/>
          <w:szCs w:val="24"/>
        </w:rPr>
        <w:t>tudy s</w:t>
      </w:r>
      <w:r w:rsidRPr="008C04EE">
        <w:rPr>
          <w:rFonts w:ascii="Times New Roman" w:hAnsi="Times New Roman" w:cs="Times New Roman"/>
          <w:sz w:val="24"/>
          <w:szCs w:val="24"/>
        </w:rPr>
        <w:t>emester (5 months) and 18 ECTS for traineeship (3 months). After completing the study or training</w:t>
      </w:r>
      <w:r>
        <w:rPr>
          <w:rFonts w:ascii="Times New Roman" w:hAnsi="Times New Roman" w:cs="Times New Roman"/>
          <w:sz w:val="24"/>
          <w:szCs w:val="24"/>
        </w:rPr>
        <w:t xml:space="preserve"> period abroad, student’s mobility</w:t>
      </w:r>
      <w:r w:rsidRPr="008C04EE">
        <w:rPr>
          <w:rFonts w:ascii="Times New Roman" w:hAnsi="Times New Roman" w:cs="Times New Roman"/>
          <w:sz w:val="24"/>
          <w:szCs w:val="24"/>
        </w:rPr>
        <w:t xml:space="preserve"> </w:t>
      </w:r>
      <w:r w:rsidRPr="008C04EE">
        <w:rPr>
          <w:rFonts w:ascii="Times New Roman" w:hAnsi="Times New Roman" w:cs="Times New Roman"/>
          <w:sz w:val="24"/>
          <w:szCs w:val="24"/>
        </w:rPr>
        <w:lastRenderedPageBreak/>
        <w:t>activities are recorded in TORs issued by the host university. All the credits earned during the mobility period and which were originally agreed in the LA</w:t>
      </w:r>
      <w:r>
        <w:rPr>
          <w:rFonts w:ascii="Times New Roman" w:hAnsi="Times New Roman" w:cs="Times New Roman"/>
          <w:sz w:val="24"/>
          <w:szCs w:val="24"/>
        </w:rPr>
        <w:t xml:space="preserve"> or TA</w:t>
      </w:r>
      <w:r w:rsidRPr="008C04EE">
        <w:rPr>
          <w:rFonts w:ascii="Times New Roman" w:hAnsi="Times New Roman" w:cs="Times New Roman"/>
          <w:sz w:val="24"/>
          <w:szCs w:val="24"/>
        </w:rPr>
        <w:t xml:space="preserve"> </w:t>
      </w:r>
      <w:r>
        <w:rPr>
          <w:rFonts w:ascii="Times New Roman" w:hAnsi="Times New Roman" w:cs="Times New Roman"/>
          <w:sz w:val="24"/>
          <w:szCs w:val="24"/>
        </w:rPr>
        <w:t>and included in the Diploma Supplement.</w:t>
      </w:r>
    </w:p>
    <w:p w:rsidR="00B82BF7" w:rsidRPr="0013106B" w:rsidRDefault="00B82BF7" w:rsidP="00B82BF7">
      <w:pPr>
        <w:jc w:val="both"/>
        <w:rPr>
          <w:rFonts w:ascii="Times New Roman" w:hAnsi="Times New Roman" w:cs="Times New Roman"/>
          <w:sz w:val="24"/>
          <w:szCs w:val="24"/>
        </w:rPr>
      </w:pPr>
      <w:r w:rsidRPr="0013106B">
        <w:rPr>
          <w:rFonts w:ascii="Times New Roman" w:hAnsi="Times New Roman" w:cs="Times New Roman"/>
          <w:sz w:val="24"/>
          <w:szCs w:val="24"/>
        </w:rPr>
        <w:t xml:space="preserve">TTI provides the sending university with a Transcript of Records (TOR) and a Letter of Confirmation recognizing the </w:t>
      </w:r>
      <w:r w:rsidR="004E1545">
        <w:rPr>
          <w:rFonts w:ascii="Times New Roman" w:hAnsi="Times New Roman" w:cs="Times New Roman"/>
          <w:sz w:val="24"/>
          <w:szCs w:val="24"/>
        </w:rPr>
        <w:t>study mobility achievement</w:t>
      </w:r>
      <w:r w:rsidRPr="0013106B">
        <w:rPr>
          <w:rFonts w:ascii="Times New Roman" w:hAnsi="Times New Roman" w:cs="Times New Roman"/>
          <w:sz w:val="24"/>
          <w:szCs w:val="24"/>
        </w:rPr>
        <w:t xml:space="preserve"> of incoming students according to the</w:t>
      </w:r>
      <w:r>
        <w:rPr>
          <w:rFonts w:ascii="Times New Roman" w:hAnsi="Times New Roman" w:cs="Times New Roman"/>
          <w:sz w:val="24"/>
          <w:szCs w:val="24"/>
        </w:rPr>
        <w:t xml:space="preserve"> prior signed LA</w:t>
      </w:r>
      <w:r w:rsidRPr="0013106B">
        <w:rPr>
          <w:rFonts w:ascii="Times New Roman" w:hAnsi="Times New Roman" w:cs="Times New Roman"/>
          <w:sz w:val="24"/>
          <w:szCs w:val="24"/>
        </w:rPr>
        <w:t>. The mobility achievements for training are recognized by the certificate fro</w:t>
      </w:r>
      <w:r w:rsidR="004E1545">
        <w:rPr>
          <w:rFonts w:ascii="Times New Roman" w:hAnsi="Times New Roman" w:cs="Times New Roman"/>
          <w:sz w:val="24"/>
          <w:szCs w:val="24"/>
        </w:rPr>
        <w:t>m traineeship provider assessing</w:t>
      </w:r>
      <w:r w:rsidRPr="0013106B">
        <w:rPr>
          <w:rFonts w:ascii="Times New Roman" w:hAnsi="Times New Roman" w:cs="Times New Roman"/>
          <w:sz w:val="24"/>
          <w:szCs w:val="24"/>
        </w:rPr>
        <w:t xml:space="preserve"> the training activities of students, Certificate of Training and TOR issued by TTI according to the prior signed Training Agreement. The IO provides the sending university with those documents by sending them to the coordinator via regular post within 4 weeks after mobility period. The mobility students </w:t>
      </w:r>
      <w:r w:rsidR="004E1545">
        <w:rPr>
          <w:rFonts w:ascii="Times New Roman" w:hAnsi="Times New Roman" w:cs="Times New Roman"/>
          <w:sz w:val="24"/>
          <w:szCs w:val="24"/>
        </w:rPr>
        <w:t>are informed about the existence</w:t>
      </w:r>
      <w:r w:rsidRPr="0013106B">
        <w:rPr>
          <w:rFonts w:ascii="Times New Roman" w:hAnsi="Times New Roman" w:cs="Times New Roman"/>
          <w:sz w:val="24"/>
          <w:szCs w:val="24"/>
        </w:rPr>
        <w:t xml:space="preserve"> of the</w:t>
      </w:r>
      <w:r w:rsidR="004E1545">
        <w:rPr>
          <w:rFonts w:ascii="Times New Roman" w:hAnsi="Times New Roman" w:cs="Times New Roman"/>
          <w:sz w:val="24"/>
          <w:szCs w:val="24"/>
        </w:rPr>
        <w:t>se</w:t>
      </w:r>
      <w:r w:rsidRPr="0013106B">
        <w:rPr>
          <w:rFonts w:ascii="Times New Roman" w:hAnsi="Times New Roman" w:cs="Times New Roman"/>
          <w:sz w:val="24"/>
          <w:szCs w:val="24"/>
        </w:rPr>
        <w:t xml:space="preserve"> documents and are able to contact the IO of TTI in case of any questions.</w:t>
      </w:r>
    </w:p>
    <w:p w:rsidR="00C627F4" w:rsidRDefault="00C627F4"/>
    <w:sectPr w:rsidR="00C627F4" w:rsidSect="00C627F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2BF7"/>
    <w:rsid w:val="004E1545"/>
    <w:rsid w:val="00751741"/>
    <w:rsid w:val="0098334B"/>
    <w:rsid w:val="00B82BF7"/>
    <w:rsid w:val="00C627F4"/>
    <w:rsid w:val="00DC56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B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2BF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82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c.europa.eu/education/programmes/socrates/ects/index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3556</Characters>
  <Application>Microsoft Office Word</Application>
  <DocSecurity>4</DocSecurity>
  <Lines>29</Lines>
  <Paragraphs>8</Paragraphs>
  <ScaleCrop>false</ScaleCrop>
  <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Kivleniece</dc:creator>
  <cp:lastModifiedBy>ludmilag</cp:lastModifiedBy>
  <cp:revision>2</cp:revision>
  <dcterms:created xsi:type="dcterms:W3CDTF">2013-05-10T07:03:00Z</dcterms:created>
  <dcterms:modified xsi:type="dcterms:W3CDTF">2013-05-10T07:03:00Z</dcterms:modified>
</cp:coreProperties>
</file>